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8C" w:rsidRPr="00B22B8C" w:rsidRDefault="00B22B8C" w:rsidP="00B2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sl-SI"/>
        </w:rPr>
      </w:pPr>
      <w:r w:rsidRPr="00B22B8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751840</wp:posOffset>
                </wp:positionV>
                <wp:extent cx="6400800" cy="0"/>
                <wp:effectExtent l="6985" t="8890" r="12065" b="1016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3BB48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59.2pt" to="484.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" o:allowincell="f"/>
            </w:pict>
          </mc:Fallback>
        </mc:AlternateContent>
      </w:r>
      <w:r w:rsidRPr="00B22B8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2666365</wp:posOffset>
            </wp:positionH>
            <wp:positionV relativeFrom="paragraph">
              <wp:posOffset>-442595</wp:posOffset>
            </wp:positionV>
            <wp:extent cx="586105" cy="731520"/>
            <wp:effectExtent l="0" t="0" r="4445" b="0"/>
            <wp:wrapTopAndBottom/>
            <wp:docPr id="2" name="Slika 2" descr="grb gor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gor v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8C" w:rsidRPr="00B22B8C" w:rsidRDefault="00B22B8C" w:rsidP="00B2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sl-SI"/>
        </w:rPr>
      </w:pPr>
      <w:r w:rsidRPr="00B22B8C">
        <w:rPr>
          <w:rFonts w:ascii="Times New Roman" w:eastAsia="Times New Roman" w:hAnsi="Times New Roman" w:cs="Times New Roman"/>
          <w:sz w:val="20"/>
          <w:szCs w:val="20"/>
          <w:lang w:val="hr-HR" w:eastAsia="sl-SI"/>
        </w:rPr>
        <w:t>Občina Gorenja vas – Poljane, Poljanska cesta 87, 4224 Gorenja vas, tel.: 04/51-83-100, faks: 04/51-83-101</w:t>
      </w:r>
    </w:p>
    <w:p w:rsidR="00B22B8C" w:rsidRPr="00B22B8C" w:rsidRDefault="00B22B8C" w:rsidP="00B2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2B8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73660</wp:posOffset>
                </wp:positionV>
                <wp:extent cx="6400800" cy="0"/>
                <wp:effectExtent l="6985" t="6985" r="12065" b="1206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7E3F"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.8pt" to="483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jTHg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" o:allowincell="f"/>
            </w:pict>
          </mc:Fallback>
        </mc:AlternateContent>
      </w:r>
    </w:p>
    <w:p w:rsidR="00B22B8C" w:rsidRPr="00B22B8C" w:rsidRDefault="00B22B8C" w:rsidP="00B22B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2B8C">
        <w:rPr>
          <w:rFonts w:ascii="Times New Roman" w:eastAsia="Times New Roman" w:hAnsi="Times New Roman" w:cs="Times New Roman"/>
          <w:sz w:val="24"/>
          <w:szCs w:val="24"/>
          <w:lang w:eastAsia="sl-SI"/>
        </w:rPr>
        <w:t>Štev.: 322-</w:t>
      </w:r>
      <w:r w:rsidR="00A07842">
        <w:rPr>
          <w:rFonts w:ascii="Times New Roman" w:eastAsia="Times New Roman" w:hAnsi="Times New Roman" w:cs="Times New Roman"/>
          <w:sz w:val="24"/>
          <w:szCs w:val="24"/>
          <w:lang w:eastAsia="sl-SI"/>
        </w:rPr>
        <w:t>01/2019-01</w:t>
      </w:r>
      <w:r w:rsidRPr="00B22B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B22B8C" w:rsidRPr="00B22B8C" w:rsidRDefault="00B22B8C" w:rsidP="00B22B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2B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="009A0951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B22B8C">
        <w:rPr>
          <w:rFonts w:ascii="Times New Roman" w:eastAsia="Times New Roman" w:hAnsi="Times New Roman" w:cs="Times New Roman"/>
          <w:sz w:val="24"/>
          <w:szCs w:val="24"/>
          <w:lang w:eastAsia="sl-SI"/>
        </w:rPr>
        <w:t>. 1. 201</w:t>
      </w:r>
      <w:r w:rsidR="009A0951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</w:p>
    <w:p w:rsidR="00B22B8C" w:rsidRDefault="00B22B8C" w:rsidP="005C359F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sl-SI"/>
        </w:rPr>
      </w:pPr>
    </w:p>
    <w:p w:rsidR="00FA011F" w:rsidRPr="005C359F" w:rsidRDefault="00FA011F" w:rsidP="005C359F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sl-SI"/>
        </w:rPr>
      </w:pPr>
      <w:r w:rsidRPr="00FA011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sl-SI"/>
        </w:rPr>
        <w:t>Turistična taksa v novem letu</w:t>
      </w:r>
    </w:p>
    <w:p w:rsidR="00FA011F" w:rsidRPr="00FA011F" w:rsidRDefault="005C359F" w:rsidP="009B701A">
      <w:pPr>
        <w:spacing w:after="240" w:line="276" w:lineRule="auto"/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br/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S 1. januarjem 2019 se skladno z Zakonom o spodbujanju razvoja turizma uveljavlja določilo glede pobiranja in odvajanja promocijske takse. Promocijsk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a taksa</w:t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bo nakazana </w:t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Slovenski turistični organizaciji</w:t>
      </w:r>
      <w:r w:rsidR="00C77193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(STO)</w:t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in predstavlja 25 % zneska turistične takse.</w:t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br/>
      </w:r>
      <w:r w:rsidR="00C77193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br/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Z novim letom v občini </w:t>
      </w:r>
      <w:r w:rsidR="00CA12B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Gorenja vas – Poljane </w:t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pričnejo veljati nove višine turistične takse, in sicer:</w:t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br/>
      </w:r>
      <w:r w:rsidR="00FA011F" w:rsidRPr="009B701A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sl-SI"/>
        </w:rPr>
        <w:t xml:space="preserve">- polna turistična taksa: </w:t>
      </w:r>
      <w:r w:rsidR="00CA12BF" w:rsidRPr="00CA12BF">
        <w:rPr>
          <w:rFonts w:ascii="Times New Roman" w:eastAsia="Times New Roman" w:hAnsi="Times New Roman" w:cs="Times New Roman"/>
          <w:bCs/>
          <w:color w:val="333333"/>
          <w:spacing w:val="5"/>
          <w:sz w:val="24"/>
          <w:szCs w:val="24"/>
          <w:lang w:eastAsia="sl-SI"/>
        </w:rPr>
        <w:t>1,28</w:t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EUR + 0,</w:t>
      </w:r>
      <w:r w:rsidR="00CA12B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32</w:t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EUR (promocijska taksa) = </w:t>
      </w:r>
      <w:r w:rsidR="00CA12BF" w:rsidRPr="00CA12BF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sl-SI"/>
        </w:rPr>
        <w:t>1,60</w:t>
      </w:r>
      <w:r w:rsidR="00FA011F" w:rsidRPr="00FA011F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sl-SI"/>
        </w:rPr>
        <w:t xml:space="preserve"> EUR</w:t>
      </w:r>
      <w:r w:rsidR="00FA011F" w:rsidRPr="00FA011F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sl-SI"/>
        </w:rPr>
        <w:br/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- </w:t>
      </w:r>
      <w:r w:rsidR="00FA011F" w:rsidRPr="009B701A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sl-SI"/>
        </w:rPr>
        <w:t>polovična turistična taksa: </w:t>
      </w:r>
      <w:r w:rsidR="00CA12BF" w:rsidRPr="00CA12BF">
        <w:rPr>
          <w:rFonts w:ascii="Times New Roman" w:eastAsia="Times New Roman" w:hAnsi="Times New Roman" w:cs="Times New Roman"/>
          <w:bCs/>
          <w:color w:val="333333"/>
          <w:spacing w:val="5"/>
          <w:sz w:val="24"/>
          <w:szCs w:val="24"/>
          <w:lang w:eastAsia="sl-SI"/>
        </w:rPr>
        <w:t>0,64</w:t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EUR + 0,</w:t>
      </w:r>
      <w:r w:rsidR="00CA12B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16</w:t>
      </w:r>
      <w:r w:rsidR="00FA011F"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EUR (promocijska taksa) = </w:t>
      </w:r>
      <w:r w:rsidR="00CA12BF" w:rsidRPr="00CA12BF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sl-SI"/>
        </w:rPr>
        <w:t>0,80</w:t>
      </w:r>
      <w:r w:rsidR="00FA011F" w:rsidRPr="00FA011F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sl-SI"/>
        </w:rPr>
        <w:t xml:space="preserve"> EUR</w:t>
      </w:r>
    </w:p>
    <w:p w:rsidR="00FA011F" w:rsidRPr="00FA011F" w:rsidRDefault="00FA011F" w:rsidP="009B701A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</w:pPr>
      <w:r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 xml:space="preserve">Prosimo vas, da </w:t>
      </w:r>
      <w:r w:rsidR="005C359F" w:rsidRPr="00C77193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 xml:space="preserve">čimprej oz. do konca januarja </w:t>
      </w:r>
      <w:r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>nakažete decembrsko turistično takso</w:t>
      </w:r>
      <w:r w:rsidR="005C359F" w:rsidRPr="00C77193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 xml:space="preserve"> in še vse neporavnane obveznosti za nazaj, </w:t>
      </w:r>
      <w:r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>saj se januarska taksa že deli na promocijsko in turistično takso, kar pomeni, da bo posledično del turistične takse odveden na račun STO.</w:t>
      </w:r>
    </w:p>
    <w:p w:rsidR="00FA011F" w:rsidRDefault="00FA011F" w:rsidP="009B701A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r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Znesek promocijske takse bo avtomatsko </w:t>
      </w:r>
      <w:proofErr w:type="spellStart"/>
      <w:r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prenakazan</w:t>
      </w:r>
      <w:proofErr w:type="spellEnd"/>
      <w:r w:rsidRPr="00FA011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na račun STO in tako sobodajalci ne bodo imeli dodatnih obremenitev.</w:t>
      </w:r>
    </w:p>
    <w:p w:rsidR="009309C2" w:rsidRPr="00FE4407" w:rsidRDefault="009309C2" w:rsidP="009309C2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r w:rsidRPr="00FE440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Uprava Republike Slovenije za javna plačila je dne 31.</w:t>
      </w:r>
      <w:r w:rsidR="005C359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</w:t>
      </w:r>
      <w:r w:rsidRPr="00FE440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12.</w:t>
      </w:r>
      <w:r w:rsidR="005C359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</w:t>
      </w:r>
      <w:r w:rsidRPr="00FE440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2018 na podlagi zahtevka O</w:t>
      </w:r>
      <w:r w:rsidR="00C77193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bčine Gorenja vas - Poljane</w:t>
      </w:r>
      <w:r w:rsidRPr="00FE440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odprla nov podračun za nakazovanje turistične in promocijske takse:</w:t>
      </w:r>
    </w:p>
    <w:p w:rsidR="009309C2" w:rsidRPr="00FE4407" w:rsidRDefault="009309C2" w:rsidP="009309C2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r w:rsidRPr="00FE440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Naziv podračuna: </w:t>
      </w:r>
      <w:r w:rsidRPr="00FE4407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sl-SI"/>
        </w:rPr>
        <w:t xml:space="preserve">TURISTIČNA IN PROMOCIJSKA TAKSA – OBČINA </w:t>
      </w: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sl-SI"/>
        </w:rPr>
        <w:t>GORENJA VAS - POLJANE</w:t>
      </w:r>
    </w:p>
    <w:p w:rsidR="009309C2" w:rsidRPr="00FE4407" w:rsidRDefault="009309C2" w:rsidP="009309C2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r w:rsidRPr="00FE440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Številka podračuna: </w:t>
      </w:r>
      <w:r w:rsidRPr="00FE4407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sl-SI"/>
        </w:rPr>
        <w:t xml:space="preserve">SI56 </w:t>
      </w: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sl-SI"/>
        </w:rPr>
        <w:t>0122 7845 0000 012</w:t>
      </w:r>
    </w:p>
    <w:p w:rsidR="009309C2" w:rsidRDefault="009309C2" w:rsidP="009309C2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r w:rsidRPr="00FE440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Nov podračun </w:t>
      </w:r>
      <w:r w:rsidRPr="00FE4407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sl-SI"/>
        </w:rPr>
        <w:t xml:space="preserve">TURISTIČNA IN PROMOCIJSKA TAKSA – OBČINA </w:t>
      </w: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sl-SI"/>
        </w:rPr>
        <w:t>GORENJA VAS - POLJANE</w:t>
      </w:r>
      <w:r w:rsidRPr="00FE4407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sl-SI"/>
        </w:rPr>
        <w:t xml:space="preserve"> </w:t>
      </w:r>
      <w:r w:rsidRPr="00C77193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 xml:space="preserve">se bo prvič uporabil za nakazilo turistične takse za mesec </w:t>
      </w:r>
      <w:r w:rsidR="008B3B27" w:rsidRPr="00C77193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 xml:space="preserve">JANUAR </w:t>
      </w:r>
      <w:r w:rsidRPr="00C77193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>2019.</w:t>
      </w:r>
      <w:r w:rsidRPr="00C77193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br/>
      </w:r>
      <w:r w:rsidRPr="00FE440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br/>
      </w:r>
      <w:r w:rsidR="005C359F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Spodaj</w:t>
      </w:r>
      <w:r w:rsidRPr="00FE4407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 si lahko ogledate primer pravilno izpolnjenega UPN.</w:t>
      </w:r>
    </w:p>
    <w:p w:rsidR="00D445DB" w:rsidRDefault="00D445DB" w:rsidP="009309C2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</w:p>
    <w:p w:rsidR="00D445DB" w:rsidRDefault="00D445DB" w:rsidP="009309C2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</w:p>
    <w:p w:rsidR="00D445DB" w:rsidRDefault="00D445DB" w:rsidP="009309C2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</w:p>
    <w:p w:rsidR="00D445DB" w:rsidRDefault="00D445DB" w:rsidP="009309C2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</w:p>
    <w:p w:rsidR="00D445DB" w:rsidRDefault="00D445DB" w:rsidP="009309C2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</w:p>
    <w:p w:rsidR="00206760" w:rsidRPr="00FE4407" w:rsidRDefault="00206760" w:rsidP="009309C2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r w:rsidRPr="004440DB">
        <w:rPr>
          <w:rFonts w:ascii="Times New Roman" w:eastAsia="Times New Roman" w:hAnsi="Times New Roman" w:cs="Times New Roman"/>
          <w:noProof/>
          <w:lang w:eastAsia="sl-SI"/>
        </w:rPr>
        <w:drawing>
          <wp:inline distT="0" distB="0" distL="0" distR="0" wp14:anchorId="380C5076" wp14:editId="4B779C61">
            <wp:extent cx="5760720" cy="2840343"/>
            <wp:effectExtent l="0" t="0" r="0" b="0"/>
            <wp:docPr id="4" name="Slika 4" descr="C:\Users\User\Documents\OBCINA\taks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OBCINA\taksa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C2" w:rsidRPr="00FA011F" w:rsidRDefault="009309C2" w:rsidP="009B701A">
      <w:pPr>
        <w:spacing w:after="150" w:line="276" w:lineRule="auto"/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bookmarkStart w:id="0" w:name="_GoBack"/>
      <w:bookmarkEnd w:id="0"/>
    </w:p>
    <w:p w:rsidR="00950AEA" w:rsidRPr="002E6104" w:rsidRDefault="00206760">
      <w:pPr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sl-SI"/>
        </w:rPr>
      </w:pPr>
      <w:r w:rsidRPr="002E6104">
        <w:rPr>
          <w:rFonts w:ascii="Times New Roman" w:eastAsia="Times New Roman" w:hAnsi="Times New Roman" w:cs="Times New Roman"/>
          <w:b/>
          <w:color w:val="333333"/>
          <w:spacing w:val="5"/>
          <w:sz w:val="24"/>
          <w:szCs w:val="24"/>
          <w:lang w:eastAsia="sl-SI"/>
        </w:rPr>
        <w:t>Referenca oz. sklic za nakazilo je sestavljen iz:</w:t>
      </w:r>
    </w:p>
    <w:p w:rsidR="00206760" w:rsidRPr="002E6104" w:rsidRDefault="00206760">
      <w:pP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vaša davčna številka-07129-mesec in leto za katerega nakazujete (npr. 0119) </w:t>
      </w:r>
    </w:p>
    <w:p w:rsidR="00974390" w:rsidRDefault="00974390" w:rsidP="00974390">
      <w:pP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</w:p>
    <w:p w:rsidR="00974390" w:rsidRPr="004A79D1" w:rsidRDefault="00FD2165" w:rsidP="00974390">
      <w:pP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</w:pPr>
      <w:r w:rsidRPr="004A79D1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 xml:space="preserve">Nekaj dodatnih gradiv in informacij </w:t>
      </w:r>
      <w:r w:rsidR="00662D44" w:rsidRPr="004A79D1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 xml:space="preserve">si </w:t>
      </w:r>
      <w:r w:rsidRPr="004A79D1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u w:val="single"/>
          <w:lang w:eastAsia="sl-SI"/>
        </w:rPr>
        <w:t>lahko pogledate tudi na naši spletni strani, Turizem, Turistična taksa:</w:t>
      </w:r>
    </w:p>
    <w:p w:rsidR="00974390" w:rsidRPr="00974390" w:rsidRDefault="00974390" w:rsidP="0097439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hyperlink r:id="rId7" w:history="1">
        <w:r w:rsidRPr="00974390">
          <w:rPr>
            <w:rStyle w:val="Hiperpovezava"/>
            <w:rFonts w:ascii="Times New Roman" w:eastAsia="Times New Roman" w:hAnsi="Times New Roman" w:cs="Times New Roman"/>
            <w:b/>
            <w:bCs/>
            <w:spacing w:val="5"/>
            <w:sz w:val="24"/>
            <w:szCs w:val="24"/>
            <w:lang w:eastAsia="sl-SI"/>
          </w:rPr>
          <w:t>Odgovori na vprašanja glede promocijske takse,</w:t>
        </w:r>
        <w:r w:rsidRPr="00974390">
          <w:rPr>
            <w:rStyle w:val="Hiperpovezava"/>
            <w:rFonts w:ascii="Times New Roman" w:eastAsia="Times New Roman" w:hAnsi="Times New Roman" w:cs="Times New Roman"/>
            <w:spacing w:val="5"/>
            <w:sz w:val="24"/>
            <w:szCs w:val="24"/>
            <w:lang w:eastAsia="sl-SI"/>
          </w:rPr>
          <w:t> </w:t>
        </w:r>
      </w:hyperlink>
      <w:r w:rsidRPr="00974390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s sestanka z Ministrstvom za finance, z dne 19. 12. 2018</w:t>
      </w:r>
    </w:p>
    <w:p w:rsidR="00974390" w:rsidRPr="00974390" w:rsidRDefault="00974390" w:rsidP="0097439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hyperlink r:id="rId8" w:history="1">
        <w:r w:rsidRPr="00974390">
          <w:rPr>
            <w:rStyle w:val="Hiperpovezava"/>
            <w:rFonts w:ascii="Times New Roman" w:eastAsia="Times New Roman" w:hAnsi="Times New Roman" w:cs="Times New Roman"/>
            <w:b/>
            <w:bCs/>
            <w:spacing w:val="5"/>
            <w:sz w:val="24"/>
            <w:szCs w:val="24"/>
            <w:lang w:eastAsia="sl-SI"/>
          </w:rPr>
          <w:t>Ključna vsebinska pojasnila namenjena izvajalcem nastanitvene dejavnosti</w:t>
        </w:r>
      </w:hyperlink>
      <w:r w:rsidRPr="00974390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sl-SI"/>
        </w:rPr>
        <w:t>,</w:t>
      </w:r>
      <w:r w:rsidRPr="00974390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 xml:space="preserve"> ki so bila pripravljena na osnovi vprašanj poročevalcev v sistem </w:t>
      </w:r>
      <w:proofErr w:type="spellStart"/>
      <w:r w:rsidRPr="00974390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eTurizem</w:t>
      </w:r>
      <w:proofErr w:type="spellEnd"/>
    </w:p>
    <w:p w:rsidR="00974390" w:rsidRPr="00974390" w:rsidRDefault="00974390" w:rsidP="0097439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hyperlink r:id="rId9" w:history="1">
        <w:r w:rsidRPr="00974390">
          <w:rPr>
            <w:rStyle w:val="Hiperpovezava"/>
            <w:rFonts w:ascii="Times New Roman" w:eastAsia="Times New Roman" w:hAnsi="Times New Roman" w:cs="Times New Roman"/>
            <w:b/>
            <w:bCs/>
            <w:spacing w:val="5"/>
            <w:sz w:val="24"/>
            <w:szCs w:val="24"/>
            <w:lang w:eastAsia="sl-SI"/>
          </w:rPr>
          <w:t>Zapisnik sestanka eTurizem_10122018</w:t>
        </w:r>
      </w:hyperlink>
    </w:p>
    <w:p w:rsidR="00AB7F6F" w:rsidRDefault="00AB7F6F">
      <w:pP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</w:p>
    <w:p w:rsidR="00AB7F6F" w:rsidRPr="002E6104" w:rsidRDefault="00AB7F6F">
      <w:pP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>Lepo pozdravljeni.</w:t>
      </w:r>
    </w:p>
    <w:p w:rsidR="00AB7F6F" w:rsidRPr="002E6104" w:rsidRDefault="00AB7F6F">
      <w:pP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</w:pP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  <w:t>Marjeta Šifrar</w:t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br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</w:r>
      <w:r w:rsidRPr="002E6104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sl-SI"/>
        </w:rPr>
        <w:tab/>
        <w:t>Viš. svet. za turizem</w:t>
      </w:r>
    </w:p>
    <w:p w:rsidR="00AB7F6F" w:rsidRDefault="00AB7F6F"/>
    <w:p w:rsidR="00AB7F6F" w:rsidRDefault="00AB7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223"/>
    <w:multiLevelType w:val="multilevel"/>
    <w:tmpl w:val="D1621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1F"/>
    <w:rsid w:val="00206760"/>
    <w:rsid w:val="002E6104"/>
    <w:rsid w:val="00423C10"/>
    <w:rsid w:val="004A79D1"/>
    <w:rsid w:val="005C359F"/>
    <w:rsid w:val="005F67E6"/>
    <w:rsid w:val="00662D44"/>
    <w:rsid w:val="008B3B27"/>
    <w:rsid w:val="009309C2"/>
    <w:rsid w:val="00950AEA"/>
    <w:rsid w:val="00974390"/>
    <w:rsid w:val="009A0951"/>
    <w:rsid w:val="009B701A"/>
    <w:rsid w:val="00A07842"/>
    <w:rsid w:val="00A1785D"/>
    <w:rsid w:val="00AB7F6F"/>
    <w:rsid w:val="00B22B8C"/>
    <w:rsid w:val="00C77193"/>
    <w:rsid w:val="00CA12BF"/>
    <w:rsid w:val="00D445DB"/>
    <w:rsid w:val="00EF4FF7"/>
    <w:rsid w:val="00F816C2"/>
    <w:rsid w:val="00FA011F"/>
    <w:rsid w:val="00FC0D7A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00BB"/>
  <w15:chartTrackingRefBased/>
  <w15:docId w15:val="{AE9E6F2D-C61F-4B94-BD41-130EE1EB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9C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7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8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pes.si/Doc/Statistike/Druge_statistike/GostiInPrenocitve/eTurizem-kljucna_vsebinska_pojasni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upnostobcin.si/wp-content/uploads/2018/12/odgovori-na-vprasanja-glede-promocijske-takse-21.12.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upnostobcin.si/wp-content/uploads/2018/12/zapisnik-sestanka-eturizem_10122018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Sifrar</dc:creator>
  <cp:keywords/>
  <dc:description/>
  <cp:lastModifiedBy>Marjeta Sifrar</cp:lastModifiedBy>
  <cp:revision>23</cp:revision>
  <cp:lastPrinted>2019-01-08T13:12:00Z</cp:lastPrinted>
  <dcterms:created xsi:type="dcterms:W3CDTF">2019-01-08T09:13:00Z</dcterms:created>
  <dcterms:modified xsi:type="dcterms:W3CDTF">2019-01-09T07:39:00Z</dcterms:modified>
</cp:coreProperties>
</file>